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2AB" w:rsidRDefault="00AD72AB" w:rsidP="00AD72AB">
      <w:pPr>
        <w:pStyle w:val="1"/>
      </w:pPr>
      <w:r>
        <w:t>(110-00-9)呋喃的理化及危险特性表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24"/>
        <w:gridCol w:w="2591"/>
        <w:gridCol w:w="2170"/>
      </w:tblGrid>
      <w:tr w:rsidR="00AD72A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标</w:t>
            </w:r>
          </w:p>
          <w:p w:rsidR="00AD72AB" w:rsidRDefault="00AD72AB" w:rsidP="0090435F">
            <w:pPr>
              <w:spacing w:line="252" w:lineRule="exact"/>
              <w:rPr>
                <w:rFonts w:ascii="宋体" w:hAnsi="宋体"/>
              </w:rPr>
            </w:pPr>
            <w:r>
              <w:rPr>
                <w:rFonts w:ascii="宋体" w:hAnsi="宋体" w:hint="eastAsia"/>
              </w:rPr>
              <w:t>识</w:t>
            </w: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中文名：</w:t>
            </w:r>
            <w:r>
              <w:rPr>
                <w:rFonts w:ascii="宋体" w:hAnsi="宋体" w:hint="eastAsia"/>
                <w:szCs w:val="18"/>
              </w:rPr>
              <w:t>呋喃</w:t>
            </w:r>
            <w:r>
              <w:rPr>
                <w:rFonts w:ascii="宋体" w:hAnsi="宋体" w:hint="eastAsia"/>
                <w:szCs w:val="18"/>
                <w:lang w:val="en-GB"/>
              </w:rPr>
              <w:t>；</w:t>
            </w:r>
            <w:r>
              <w:rPr>
                <w:rFonts w:ascii="宋体" w:hAnsi="宋体" w:hint="eastAsia"/>
                <w:szCs w:val="18"/>
              </w:rPr>
              <w:t>氧(杂)茂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Furan</w:t>
            </w:r>
            <w:r>
              <w:rPr>
                <w:rFonts w:ascii="宋体" w:hAnsi="宋体" w:hint="eastAsia"/>
                <w:szCs w:val="18"/>
                <w:lang w:val="en-GB"/>
              </w:rPr>
              <w:t>；</w:t>
            </w:r>
            <w:r>
              <w:rPr>
                <w:rFonts w:ascii="宋体" w:hAnsi="宋体" w:hint="eastAsia"/>
                <w:szCs w:val="18"/>
              </w:rPr>
              <w:t>divinylene oxide </w:t>
            </w:r>
          </w:p>
        </w:tc>
      </w:tr>
      <w:tr w:rsidR="00AD72AB" w:rsidTr="0090435F">
        <w:trPr>
          <w:cantSplit/>
          <w:jc w:val="center"/>
        </w:trPr>
        <w:tc>
          <w:tcPr>
            <w:tcW w:w="489" w:type="dxa"/>
            <w:vMerge/>
            <w:tcBorders>
              <w:left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4</w:t>
            </w:r>
            <w:r>
              <w:rPr>
                <w:rFonts w:ascii="宋体" w:hAnsi="宋体" w:hint="eastAsia"/>
                <w:szCs w:val="18"/>
              </w:rPr>
              <w:t>O</w:t>
            </w:r>
          </w:p>
        </w:tc>
        <w:tc>
          <w:tcPr>
            <w:tcW w:w="2591"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FF6600"/>
              </w:rPr>
            </w:pPr>
            <w:r>
              <w:rPr>
                <w:rFonts w:ascii="宋体" w:hAnsi="宋体" w:hint="eastAsia"/>
              </w:rPr>
              <w:t>分子量</w:t>
            </w:r>
            <w:r>
              <w:rPr>
                <w:rFonts w:ascii="宋体" w:hAnsi="宋体" w:hint="eastAsia"/>
                <w:lang w:val="en-GB"/>
              </w:rPr>
              <w:t>：</w:t>
            </w:r>
            <w:r>
              <w:rPr>
                <w:rFonts w:ascii="宋体" w:hAnsi="宋体" w:hint="eastAsia"/>
              </w:rPr>
              <w:t>68.07</w:t>
            </w:r>
          </w:p>
        </w:tc>
        <w:tc>
          <w:tcPr>
            <w:tcW w:w="2170"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UN编号：2389</w:t>
            </w:r>
          </w:p>
        </w:tc>
      </w:tr>
      <w:tr w:rsidR="00AD72AB" w:rsidTr="0090435F">
        <w:trPr>
          <w:cantSplit/>
          <w:jc w:val="center"/>
        </w:trPr>
        <w:tc>
          <w:tcPr>
            <w:tcW w:w="489" w:type="dxa"/>
            <w:vMerge/>
            <w:tcBorders>
              <w:left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危险类别：第3.1类低闪点易燃液体</w:t>
            </w:r>
          </w:p>
        </w:tc>
        <w:tc>
          <w:tcPr>
            <w:tcW w:w="2591"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危规号： 31040</w:t>
            </w:r>
          </w:p>
        </w:tc>
        <w:tc>
          <w:tcPr>
            <w:tcW w:w="2170"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CAS号：</w:t>
            </w:r>
            <w:r>
              <w:rPr>
                <w:rFonts w:ascii="宋体" w:hAnsi="宋体" w:hint="eastAsia"/>
                <w:szCs w:val="18"/>
              </w:rPr>
              <w:t>110-00-9</w:t>
            </w:r>
          </w:p>
        </w:tc>
      </w:tr>
      <w:tr w:rsidR="00AD72AB" w:rsidTr="0090435F">
        <w:trPr>
          <w:cantSplit/>
          <w:jc w:val="center"/>
        </w:trPr>
        <w:tc>
          <w:tcPr>
            <w:tcW w:w="489" w:type="dxa"/>
            <w:vMerge/>
            <w:tcBorders>
              <w:left w:val="single" w:sz="4" w:space="0" w:color="auto"/>
              <w:bottom w:val="nil"/>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 xml:space="preserve">包装类别：Ⅰ类 </w:t>
            </w:r>
          </w:p>
        </w:tc>
      </w:tr>
      <w:tr w:rsidR="00AD72A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理</w:t>
            </w:r>
          </w:p>
          <w:p w:rsidR="00AD72AB" w:rsidRDefault="00AD72AB" w:rsidP="0090435F">
            <w:pPr>
              <w:spacing w:line="252" w:lineRule="exact"/>
              <w:rPr>
                <w:rFonts w:ascii="宋体" w:hAnsi="宋体"/>
              </w:rPr>
            </w:pPr>
            <w:r>
              <w:rPr>
                <w:rFonts w:ascii="宋体" w:hAnsi="宋体" w:hint="eastAsia"/>
              </w:rPr>
              <w:t>化</w:t>
            </w:r>
          </w:p>
          <w:p w:rsidR="00AD72AB" w:rsidRDefault="00AD72AB" w:rsidP="0090435F">
            <w:pPr>
              <w:spacing w:line="252" w:lineRule="exact"/>
              <w:rPr>
                <w:rFonts w:ascii="宋体" w:hAnsi="宋体"/>
              </w:rPr>
            </w:pPr>
            <w:r>
              <w:rPr>
                <w:rFonts w:ascii="宋体" w:hAnsi="宋体" w:hint="eastAsia"/>
              </w:rPr>
              <w:t>性</w:t>
            </w:r>
          </w:p>
          <w:p w:rsidR="00AD72AB" w:rsidRDefault="00AD72AB" w:rsidP="0090435F">
            <w:pPr>
              <w:spacing w:line="25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外观与性状：</w:t>
            </w:r>
            <w:r>
              <w:rPr>
                <w:rFonts w:ascii="宋体" w:hAnsi="宋体" w:hint="eastAsia"/>
                <w:szCs w:val="18"/>
              </w:rPr>
              <w:t>无色液体，有温和的香味。</w:t>
            </w:r>
          </w:p>
        </w:tc>
      </w:tr>
      <w:tr w:rsidR="00AD72A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溶解性 ：</w:t>
            </w:r>
            <w:r>
              <w:rPr>
                <w:rFonts w:ascii="宋体" w:hAnsi="宋体" w:hint="eastAsia"/>
                <w:szCs w:val="18"/>
              </w:rPr>
              <w:t>不溶于水，溶于丙酮、苯，易溶于乙醇、乙醚等多数有机溶剂。</w:t>
            </w:r>
          </w:p>
        </w:tc>
      </w:tr>
      <w:tr w:rsidR="00AD72A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熔点（℃）：</w:t>
            </w:r>
            <w:r>
              <w:rPr>
                <w:rFonts w:ascii="宋体" w:hAnsi="宋体" w:hint="eastAsia"/>
                <w:color w:val="000000"/>
                <w:szCs w:val="18"/>
              </w:rPr>
              <w:t>-85.6</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沸点（℃）：</w:t>
            </w:r>
            <w:r>
              <w:rPr>
                <w:rFonts w:ascii="宋体" w:hAnsi="宋体" w:hint="eastAsia"/>
                <w:color w:val="000000"/>
                <w:szCs w:val="18"/>
              </w:rPr>
              <w:t>31.4</w:t>
            </w:r>
          </w:p>
        </w:tc>
      </w:tr>
      <w:tr w:rsidR="00AD72A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相对密度（水＝1）：0.94</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相对密度（空气＝1）：2.35</w:t>
            </w:r>
          </w:p>
        </w:tc>
      </w:tr>
      <w:tr w:rsidR="00AD72A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xml:space="preserve">: </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燃烧热（kJ/mol）：</w:t>
            </w:r>
            <w:r>
              <w:rPr>
                <w:rFonts w:ascii="宋体" w:hAnsi="宋体" w:hint="eastAsia"/>
                <w:color w:val="000000"/>
                <w:szCs w:val="18"/>
              </w:rPr>
              <w:t>2090.4</w:t>
            </w:r>
          </w:p>
        </w:tc>
      </w:tr>
      <w:tr w:rsidR="00AD72A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临界温度（℃）：</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临界压力（MPa）：</w:t>
            </w:r>
          </w:p>
        </w:tc>
      </w:tr>
      <w:tr w:rsidR="00AD72A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燃</w:t>
            </w:r>
          </w:p>
          <w:p w:rsidR="00AD72AB" w:rsidRDefault="00AD72AB" w:rsidP="0090435F">
            <w:pPr>
              <w:spacing w:line="252" w:lineRule="exact"/>
              <w:rPr>
                <w:rFonts w:ascii="宋体" w:hAnsi="宋体"/>
              </w:rPr>
            </w:pPr>
            <w:r>
              <w:rPr>
                <w:rFonts w:ascii="宋体" w:hAnsi="宋体" w:hint="eastAsia"/>
              </w:rPr>
              <w:t>烧</w:t>
            </w:r>
          </w:p>
          <w:p w:rsidR="00AD72AB" w:rsidRDefault="00AD72AB" w:rsidP="0090435F">
            <w:pPr>
              <w:spacing w:line="252" w:lineRule="exact"/>
              <w:rPr>
                <w:rFonts w:ascii="宋体" w:hAnsi="宋体"/>
              </w:rPr>
            </w:pPr>
            <w:r>
              <w:rPr>
                <w:rFonts w:ascii="宋体" w:hAnsi="宋体" w:hint="eastAsia"/>
              </w:rPr>
              <w:t>爆</w:t>
            </w:r>
          </w:p>
          <w:p w:rsidR="00AD72AB" w:rsidRDefault="00AD72AB" w:rsidP="0090435F">
            <w:pPr>
              <w:spacing w:line="252" w:lineRule="exact"/>
              <w:rPr>
                <w:rFonts w:ascii="宋体" w:hAnsi="宋体"/>
              </w:rPr>
            </w:pPr>
            <w:r>
              <w:rPr>
                <w:rFonts w:ascii="宋体" w:hAnsi="宋体" w:hint="eastAsia"/>
              </w:rPr>
              <w:t>炸</w:t>
            </w:r>
          </w:p>
          <w:p w:rsidR="00AD72AB" w:rsidRDefault="00AD72AB" w:rsidP="0090435F">
            <w:pPr>
              <w:spacing w:line="252" w:lineRule="exact"/>
              <w:rPr>
                <w:rFonts w:ascii="宋体" w:hAnsi="宋体"/>
              </w:rPr>
            </w:pPr>
            <w:r>
              <w:rPr>
                <w:rFonts w:ascii="宋体" w:hAnsi="宋体" w:hint="eastAsia"/>
              </w:rPr>
              <w:t>危</w:t>
            </w:r>
          </w:p>
          <w:p w:rsidR="00AD72AB" w:rsidRDefault="00AD72AB" w:rsidP="0090435F">
            <w:pPr>
              <w:spacing w:line="252" w:lineRule="exact"/>
              <w:rPr>
                <w:rFonts w:ascii="宋体" w:hAnsi="宋体"/>
              </w:rPr>
            </w:pPr>
            <w:r>
              <w:rPr>
                <w:rFonts w:ascii="宋体" w:hAnsi="宋体" w:hint="eastAsia"/>
              </w:rPr>
              <w:t>险</w:t>
            </w:r>
          </w:p>
          <w:p w:rsidR="00AD72AB" w:rsidRDefault="00AD72AB" w:rsidP="0090435F">
            <w:pPr>
              <w:spacing w:line="252" w:lineRule="exact"/>
              <w:rPr>
                <w:rFonts w:ascii="宋体" w:hAnsi="宋体"/>
              </w:rPr>
            </w:pPr>
            <w:r>
              <w:rPr>
                <w:rFonts w:ascii="宋体" w:hAnsi="宋体" w:hint="eastAsia"/>
              </w:rPr>
              <w:t>性</w:t>
            </w: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燃烧性： 易燃</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闪点（℃）：-35</w:t>
            </w:r>
          </w:p>
        </w:tc>
      </w:tr>
      <w:tr w:rsidR="00AD72AB" w:rsidTr="0090435F">
        <w:trPr>
          <w:cantSplit/>
          <w:jc w:val="center"/>
        </w:trPr>
        <w:tc>
          <w:tcPr>
            <w:tcW w:w="489" w:type="dxa"/>
            <w:vMerge/>
            <w:tcBorders>
              <w:top w:val="single" w:sz="4" w:space="0" w:color="auto"/>
              <w:left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vertAlign w:val="superscript"/>
              </w:rPr>
            </w:pPr>
            <w:r>
              <w:rPr>
                <w:rFonts w:ascii="宋体" w:hAnsi="宋体" w:hint="eastAsia"/>
                <w:color w:val="000000"/>
              </w:rPr>
              <w:t>爆炸下限（%）：1.3</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爆炸上限（%）：14.3</w:t>
            </w:r>
          </w:p>
        </w:tc>
      </w:tr>
      <w:tr w:rsidR="00AD72AB" w:rsidTr="0090435F">
        <w:trPr>
          <w:cantSplit/>
          <w:jc w:val="center"/>
        </w:trPr>
        <w:tc>
          <w:tcPr>
            <w:tcW w:w="489" w:type="dxa"/>
            <w:vMerge/>
            <w:tcBorders>
              <w:top w:val="single" w:sz="4" w:space="0" w:color="auto"/>
              <w:left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引燃温度（℃）：390</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最小点火能（mJ）：0.225</w:t>
            </w:r>
          </w:p>
        </w:tc>
      </w:tr>
      <w:tr w:rsidR="00AD72AB" w:rsidTr="0090435F">
        <w:trPr>
          <w:cantSplit/>
          <w:jc w:val="center"/>
        </w:trPr>
        <w:tc>
          <w:tcPr>
            <w:tcW w:w="489" w:type="dxa"/>
            <w:vMerge/>
            <w:tcBorders>
              <w:left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最大爆炸压力（MPa）：</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 xml:space="preserve">稳定性：稳定 </w:t>
            </w:r>
          </w:p>
        </w:tc>
      </w:tr>
      <w:tr w:rsidR="00AD72AB" w:rsidTr="0090435F">
        <w:trPr>
          <w:cantSplit/>
          <w:jc w:val="center"/>
        </w:trPr>
        <w:tc>
          <w:tcPr>
            <w:tcW w:w="489" w:type="dxa"/>
            <w:vMerge/>
            <w:tcBorders>
              <w:left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rPr>
            </w:pPr>
            <w:r>
              <w:rPr>
                <w:rFonts w:ascii="宋体" w:hAnsi="宋体" w:hint="eastAsia"/>
                <w:color w:val="000000"/>
              </w:rPr>
              <w:t xml:space="preserve">聚合危害：不聚合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color w:val="000000"/>
                <w:szCs w:val="18"/>
              </w:rPr>
            </w:pPr>
            <w:r>
              <w:rPr>
                <w:rFonts w:ascii="宋体" w:hAnsi="宋体" w:hint="eastAsia"/>
                <w:color w:val="000000"/>
                <w:szCs w:val="18"/>
              </w:rPr>
              <w:t>燃烧分解产物:一氧化碳、二氧化碳。</w:t>
            </w:r>
          </w:p>
        </w:tc>
      </w:tr>
      <w:tr w:rsidR="00AD72AB" w:rsidTr="0090435F">
        <w:trPr>
          <w:cantSplit/>
          <w:jc w:val="center"/>
        </w:trPr>
        <w:tc>
          <w:tcPr>
            <w:tcW w:w="489" w:type="dxa"/>
            <w:vMerge/>
            <w:tcBorders>
              <w:left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避免接触的条件：</w:t>
            </w:r>
            <w:r>
              <w:rPr>
                <w:rFonts w:ascii="宋体" w:hAnsi="宋体" w:hint="eastAsia"/>
                <w:szCs w:val="18"/>
              </w:rPr>
              <w:t>光照、接触空气。</w:t>
            </w:r>
            <w:r>
              <w:rPr>
                <w:rFonts w:ascii="宋体" w:hAnsi="宋体" w:hint="eastAsia"/>
              </w:rPr>
              <w:t xml:space="preserve">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szCs w:val="18"/>
              </w:rPr>
            </w:pPr>
            <w:r>
              <w:rPr>
                <w:rFonts w:ascii="宋体" w:hAnsi="宋体" w:hint="eastAsia"/>
                <w:szCs w:val="18"/>
              </w:rPr>
              <w:t>禁忌物：强氧化剂、酸类。</w:t>
            </w:r>
          </w:p>
        </w:tc>
      </w:tr>
      <w:tr w:rsidR="00AD72AB" w:rsidTr="0090435F">
        <w:trPr>
          <w:cantSplit/>
          <w:jc w:val="center"/>
        </w:trPr>
        <w:tc>
          <w:tcPr>
            <w:tcW w:w="489" w:type="dxa"/>
            <w:vMerge/>
            <w:tcBorders>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szCs w:val="18"/>
              </w:rPr>
            </w:pPr>
            <w:r>
              <w:rPr>
                <w:rFonts w:ascii="宋体" w:hAnsi="宋体" w:hint="eastAsia"/>
                <w:szCs w:val="18"/>
              </w:rPr>
              <w:t>危险特性: 其蒸气与空气可形成爆炸性混合物，遇明火、高热能引起燃烧爆炸。与氧化剂能发生强烈反应。在空气中能形成不稳定的过氧化物，蒸馏时易引起爆炸。本品与酸液接触，能发生强烈的放热反应。在火场中，受热的容器有爆炸危险。其蒸气比空气重，能在较低处扩散到相当远的地方，遇火源会着火回燃。</w:t>
            </w:r>
          </w:p>
        </w:tc>
      </w:tr>
      <w:tr w:rsidR="00AD72AB" w:rsidTr="0090435F">
        <w:trPr>
          <w:cantSplit/>
          <w:jc w:val="center"/>
        </w:trPr>
        <w:tc>
          <w:tcPr>
            <w:tcW w:w="489" w:type="dxa"/>
            <w:vMerge/>
            <w:tcBorders>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灭火方法：喷水冷却容器，可能的话将容器从火场移至空旷处。处在火场中的容器若已变色或从安全泄压装置中产生声音，必须马上撤离。灭火剂：泡沫、二氧化碳、干粉、砂土。用水灭火无效。</w:t>
            </w:r>
          </w:p>
        </w:tc>
      </w:tr>
      <w:tr w:rsidR="00AD72A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毒</w:t>
            </w:r>
          </w:p>
          <w:p w:rsidR="00AD72AB" w:rsidRDefault="00AD72AB" w:rsidP="0090435F">
            <w:pPr>
              <w:spacing w:line="25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AD72AB" w:rsidRDefault="00AD72AB"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120mg/m3，1小时(小鼠吸入)</w:t>
            </w:r>
          </w:p>
        </w:tc>
      </w:tr>
      <w:tr w:rsidR="00AD72A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侵入途经：吸入、食入、经皮吸收。</w:t>
            </w:r>
          </w:p>
        </w:tc>
      </w:tr>
      <w:tr w:rsidR="00AD72AB"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szCs w:val="18"/>
              </w:rPr>
              <w:t>本品有麻醉和弱刺激作用。吸入后可引起头痛、头晕、恶心、呕吐、血压下降、呼吸衰竭。慢性影响：肝、肾损害。</w:t>
            </w:r>
          </w:p>
        </w:tc>
      </w:tr>
      <w:tr w:rsidR="00AD72AB" w:rsidTr="0090435F">
        <w:trPr>
          <w:cantSplit/>
          <w:jc w:val="center"/>
        </w:trPr>
        <w:tc>
          <w:tcPr>
            <w:tcW w:w="489" w:type="dxa"/>
            <w:tcBorders>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急</w:t>
            </w:r>
          </w:p>
          <w:p w:rsidR="00AD72AB" w:rsidRDefault="00AD72AB" w:rsidP="0090435F">
            <w:pPr>
              <w:spacing w:line="25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 饮足量温水，催吐。就医。</w:t>
            </w:r>
          </w:p>
        </w:tc>
      </w:tr>
      <w:tr w:rsidR="00AD72A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防</w:t>
            </w:r>
          </w:p>
          <w:p w:rsidR="00AD72AB" w:rsidRDefault="00AD72AB" w:rsidP="0090435F">
            <w:pPr>
              <w:spacing w:line="25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工</w:t>
            </w:r>
            <w:r>
              <w:rPr>
                <w:rFonts w:ascii="宋体" w:hAnsi="宋体" w:hint="eastAsia"/>
                <w:szCs w:val="18"/>
              </w:rPr>
              <w:t>程控制：生产过程密闭，全面通风。提供安全淋浴和洗眼设备。    ※呼吸系统防护：一般不需要特殊防护，高浓度接触时可佩戴自吸过滤式防毒面具（半面罩）。   ※</w:t>
            </w:r>
            <w:r>
              <w:rPr>
                <w:rFonts w:ascii="宋体" w:hAnsi="宋体"/>
                <w:szCs w:val="18"/>
              </w:rPr>
              <w:t>眼睛防护</w:t>
            </w:r>
            <w:r>
              <w:rPr>
                <w:rFonts w:ascii="宋体" w:hAnsi="宋体" w:hint="eastAsia"/>
                <w:szCs w:val="18"/>
              </w:rPr>
              <w:t>：一般不需特殊防护。必要时，戴安全防护眼镜。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※其它：工作现场严禁吸烟。工作完毕，淋浴更衣。注意个人清洁卫生。  </w:t>
            </w:r>
          </w:p>
        </w:tc>
      </w:tr>
      <w:tr w:rsidR="00AD72A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泄</w:t>
            </w:r>
          </w:p>
          <w:p w:rsidR="00AD72AB" w:rsidRDefault="00AD72AB" w:rsidP="0090435F">
            <w:pPr>
              <w:spacing w:line="252" w:lineRule="exact"/>
              <w:rPr>
                <w:rFonts w:ascii="宋体" w:hAnsi="宋体"/>
              </w:rPr>
            </w:pPr>
            <w:r>
              <w:rPr>
                <w:rFonts w:ascii="宋体" w:hAnsi="宋体" w:hint="eastAsia"/>
              </w:rPr>
              <w:t>漏</w:t>
            </w:r>
          </w:p>
          <w:p w:rsidR="00AD72AB" w:rsidRDefault="00AD72AB" w:rsidP="0090435F">
            <w:pPr>
              <w:spacing w:line="252" w:lineRule="exact"/>
              <w:rPr>
                <w:rFonts w:ascii="宋体" w:hAnsi="宋体"/>
              </w:rPr>
            </w:pPr>
            <w:r>
              <w:rPr>
                <w:rFonts w:ascii="宋体" w:hAnsi="宋体" w:hint="eastAsia"/>
              </w:rPr>
              <w:t>处</w:t>
            </w:r>
          </w:p>
          <w:p w:rsidR="00AD72AB" w:rsidRDefault="00AD72AB" w:rsidP="0090435F">
            <w:pPr>
              <w:spacing w:line="25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D72AB" w:rsidRDefault="00AD72AB" w:rsidP="0090435F">
            <w:pPr>
              <w:spacing w:line="25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防爆泵转移至槽车或专用收集器内，回收或运至废物处理场所处置。</w:t>
            </w:r>
          </w:p>
        </w:tc>
      </w:tr>
      <w:tr w:rsidR="00AD72AB" w:rsidTr="0090435F">
        <w:trPr>
          <w:cantSplit/>
          <w:jc w:val="center"/>
        </w:trPr>
        <w:tc>
          <w:tcPr>
            <w:tcW w:w="489" w:type="dxa"/>
            <w:tcBorders>
              <w:top w:val="single" w:sz="4" w:space="0" w:color="auto"/>
              <w:left w:val="single" w:sz="4" w:space="0" w:color="auto"/>
              <w:right w:val="single" w:sz="4" w:space="0" w:color="auto"/>
            </w:tcBorders>
            <w:vAlign w:val="center"/>
          </w:tcPr>
          <w:p w:rsidR="00AD72AB" w:rsidRDefault="00AD72AB" w:rsidP="0090435F">
            <w:pPr>
              <w:spacing w:line="252" w:lineRule="exact"/>
              <w:rPr>
                <w:rFonts w:ascii="宋体" w:hAnsi="宋体"/>
              </w:rPr>
            </w:pPr>
            <w:r>
              <w:rPr>
                <w:rFonts w:ascii="宋体" w:hAnsi="宋体" w:hint="eastAsia"/>
              </w:rPr>
              <w:t>储</w:t>
            </w:r>
          </w:p>
          <w:p w:rsidR="00AD72AB" w:rsidRDefault="00AD72AB" w:rsidP="0090435F">
            <w:pPr>
              <w:spacing w:line="25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AD72AB" w:rsidRDefault="00AD72AB" w:rsidP="0090435F">
            <w:pPr>
              <w:spacing w:line="252" w:lineRule="exact"/>
              <w:rPr>
                <w:rFonts w:ascii="宋体" w:hAnsi="宋体"/>
                <w:szCs w:val="18"/>
              </w:rPr>
            </w:pPr>
            <w:r>
              <w:rPr>
                <w:rFonts w:ascii="宋体" w:hAnsi="宋体" w:hint="eastAsia"/>
                <w:szCs w:val="18"/>
              </w:rPr>
              <w:t>通常商品加有阻聚剂。储存于阴凉、通风的库房。远离火种、热源。库温不宜超过28℃。避光保存。包装要求密封，不可与空气接触。应与氧化剂、酸类分开存放，切忌混储。采用防爆型照明、通风设施。禁止使用易产生火花的机械设备和工具。储区应备有泄漏应急处理设备和合适的收容材料。</w:t>
            </w:r>
          </w:p>
          <w:p w:rsidR="00AD72AB" w:rsidRDefault="00AD72AB" w:rsidP="0090435F">
            <w:pPr>
              <w:spacing w:line="25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AB"/>
    <w:rsid w:val="00AD72A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97902-A850-4D9B-8FF9-778C42F6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D72A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D72A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Company>zyhq</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